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color w:val="222222"/>
          <w:spacing w:val="8"/>
          <w:sz w:val="33"/>
          <w:szCs w:val="33"/>
        </w:rPr>
      </w:pPr>
      <w:r>
        <w:rPr>
          <w:rFonts w:hint="eastAsia" w:ascii="微软雅黑" w:hAnsi="微软雅黑" w:eastAsia="微软雅黑" w:cs="微软雅黑"/>
          <w:i w:val="0"/>
          <w:iCs w:val="0"/>
          <w:caps w:val="0"/>
          <w:color w:val="222222"/>
          <w:spacing w:val="8"/>
          <w:sz w:val="33"/>
          <w:szCs w:val="33"/>
          <w:bdr w:val="none" w:color="auto" w:sz="0" w:space="0"/>
          <w:shd w:val="clear" w:fill="FFFFFF"/>
        </w:rPr>
        <w:t>【东北建筑建材王小勇】西部建设（002302）动态点评：定增添活力，商混龙头潜力无限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spacing w:val="8"/>
        </w:rPr>
      </w:pP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instrText xml:space="preserve"> HYPERLINK "https://mp.weixin.qq.com/javascript:void(0);" </w:instrText>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color w:val="576B95"/>
          <w:spacing w:val="8"/>
          <w:sz w:val="22"/>
          <w:szCs w:val="22"/>
          <w:u w:val="none"/>
          <w:bdr w:val="none" w:color="auto" w:sz="0" w:space="0"/>
          <w:shd w:val="clear" w:fill="FFFFFF"/>
        </w:rPr>
        <w:t>东北证券研究所</w:t>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222222"/>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color w:val="222222"/>
          <w:spacing w:val="8"/>
          <w:kern w:val="0"/>
          <w:sz w:val="22"/>
          <w:szCs w:val="22"/>
          <w:bdr w:val="none" w:color="auto" w:sz="0" w:space="0"/>
          <w:shd w:val="clear" w:fill="FFFFFF"/>
          <w:lang w:val="en-US" w:eastAsia="zh-CN" w:bidi="ar"/>
        </w:rPr>
        <w:t>2022-05-27 08:09</w:t>
      </w:r>
      <w:r>
        <w:rPr>
          <w:rFonts w:hint="eastAsia" w:ascii="微软雅黑" w:hAnsi="微软雅黑" w:eastAsia="微软雅黑" w:cs="微软雅黑"/>
          <w:i w:val="0"/>
          <w:iCs w:val="0"/>
          <w:caps w:val="0"/>
          <w:color w:val="222222"/>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color w:val="222222"/>
          <w:spacing w:val="8"/>
          <w:kern w:val="0"/>
          <w:sz w:val="22"/>
          <w:szCs w:val="22"/>
          <w:bdr w:val="none" w:color="auto" w:sz="0" w:space="0"/>
          <w:shd w:val="clear" w:fill="FFFFFF"/>
          <w:lang w:val="en-US" w:eastAsia="zh-CN" w:bidi="ar"/>
        </w:rPr>
        <w:t>Posted on 上海</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生产经营稳中向好</w:t>
      </w:r>
      <w:r>
        <w:rPr>
          <w:rFonts w:hint="eastAsia" w:ascii="微软雅黑" w:hAnsi="微软雅黑" w:eastAsia="微软雅黑" w:cs="微软雅黑"/>
          <w:i w:val="0"/>
          <w:iCs w:val="0"/>
          <w:caps w:val="0"/>
          <w:color w:val="222222"/>
          <w:spacing w:val="8"/>
          <w:sz w:val="25"/>
          <w:szCs w:val="25"/>
          <w:bdr w:val="none" w:color="auto" w:sz="0" w:space="0"/>
          <w:shd w:val="clear" w:fill="FFFFFF"/>
        </w:rPr>
        <w:t>。公司专注预拌混凝土及相关业务，主要产品为预拌混凝土，2021年预拌混凝土产品生产量及销售量为6105.26万立方米，同比增长18.03%。2021年实现营业收入269.26亿元，同比增长14.96%；实现归母净利润8.45亿元，同比增长7.72%，公司生产经营稳中向好。2022年Q1，受疫情防控、春节假期影响开工不足、市场需求乏力，营业收入约为46.62亿元，同比下降6.19%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多项优势突出，发展潜力强劲</w:t>
      </w:r>
      <w:r>
        <w:rPr>
          <w:rFonts w:hint="eastAsia" w:ascii="微软雅黑" w:hAnsi="微软雅黑" w:eastAsia="微软雅黑" w:cs="微软雅黑"/>
          <w:i w:val="0"/>
          <w:iCs w:val="0"/>
          <w:caps w:val="0"/>
          <w:color w:val="222222"/>
          <w:spacing w:val="8"/>
          <w:sz w:val="25"/>
          <w:szCs w:val="25"/>
          <w:bdr w:val="none" w:color="auto" w:sz="0" w:space="0"/>
          <w:shd w:val="clear" w:fill="FFFFFF"/>
        </w:rPr>
        <w:t>。作为中建集团打造的第一家独立上市的专业化公司以及预拌混凝土业务的唯一发展平台，在业务资源上背靠中建集团，2021年公司新签合同额532.69亿元，同比增长6.88%，且具备上市平台的融资优势，公司平台资源优势明显。公司长期专注于预拌混凝土及相关业务，产业链完整且具有多项自主研发的产品，产品和服务竞争力强。在业务上，公司构建“两翼”发展格局，一是发展产业互联网业务，明确现阶段“5+3”核心产品序列；二是发展外加剂业务，2021年，外加剂销售收入同比增长88.88%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非公开发行股票，提高公司抗风险能力</w:t>
      </w:r>
      <w:r>
        <w:rPr>
          <w:rFonts w:hint="eastAsia" w:ascii="微软雅黑" w:hAnsi="微软雅黑" w:eastAsia="微软雅黑" w:cs="微软雅黑"/>
          <w:i w:val="0"/>
          <w:iCs w:val="0"/>
          <w:caps w:val="0"/>
          <w:color w:val="222222"/>
          <w:spacing w:val="8"/>
          <w:sz w:val="25"/>
          <w:szCs w:val="25"/>
          <w:bdr w:val="none" w:color="auto" w:sz="0" w:space="0"/>
          <w:shd w:val="clear" w:fill="FFFFFF"/>
        </w:rPr>
        <w:t>。公司拟通过非公开发行股票引入海螺水泥为第二大股东。与公司系产业链上下游关系，降低公司原材料采购成本，有效缓解2021年公司预拌混凝土产品原材料成本问题。本次非公开发行募集资金扣除发行费用后全部用于补充流动资金和偿还银行贷款，有利于优化资本结构、完善公司治理，进一步充实公司资金实力、提高抗风险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下游市场投资发力，未来发展向好</w:t>
      </w:r>
      <w:r>
        <w:rPr>
          <w:rFonts w:hint="eastAsia" w:ascii="微软雅黑" w:hAnsi="微软雅黑" w:eastAsia="微软雅黑" w:cs="微软雅黑"/>
          <w:i w:val="0"/>
          <w:iCs w:val="0"/>
          <w:caps w:val="0"/>
          <w:color w:val="222222"/>
          <w:spacing w:val="8"/>
          <w:sz w:val="25"/>
          <w:szCs w:val="25"/>
          <w:bdr w:val="none" w:color="auto" w:sz="0" w:space="0"/>
          <w:shd w:val="clear" w:fill="FFFFFF"/>
        </w:rPr>
        <w:t>。2022年Q1，我国固定资产投资规模扩大，同比增长9.3%。在“稳增长”的背景下，基建投资是重要抓手，未来仍具有利好的趋势。公司所处预拌混凝土行业的下游市场为基础设施建设、房地产开发等，受固定资产投资规模影响较大。下游市场投资发力增加公司产品需求，未来发展向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首次覆盖，</w:t>
      </w:r>
      <w:r>
        <w:rPr>
          <w:rStyle w:val="6"/>
          <w:rFonts w:ascii="Arial" w:hAnsi="Arial" w:eastAsia="微软雅黑" w:cs="Arial"/>
          <w:b/>
          <w:bCs/>
          <w:i w:val="0"/>
          <w:iCs w:val="0"/>
          <w:caps w:val="0"/>
          <w:color w:val="C00000"/>
          <w:spacing w:val="8"/>
          <w:sz w:val="25"/>
          <w:szCs w:val="25"/>
          <w:bdr w:val="none" w:color="auto" w:sz="0" w:space="0"/>
          <w:shd w:val="clear" w:fill="FFFFFF"/>
        </w:rPr>
        <w:t>给予公司“买入”评级</w:t>
      </w:r>
      <w:r>
        <w:rPr>
          <w:rFonts w:hint="eastAsia" w:ascii="微软雅黑" w:hAnsi="微软雅黑" w:eastAsia="微软雅黑" w:cs="微软雅黑"/>
          <w:i w:val="0"/>
          <w:iCs w:val="0"/>
          <w:caps w:val="0"/>
          <w:color w:val="222222"/>
          <w:spacing w:val="8"/>
          <w:sz w:val="25"/>
          <w:szCs w:val="25"/>
          <w:bdr w:val="none" w:color="auto" w:sz="0" w:space="0"/>
          <w:shd w:val="clear" w:fill="FFFFFF"/>
        </w:rPr>
        <w:t>。预计公司2022-2024年EPS为0.74/0.89/1.08元，对应PE为10.14/8.52/7.01倍。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风险提示</w:t>
      </w:r>
      <w:r>
        <w:rPr>
          <w:rFonts w:hint="eastAsia" w:ascii="微软雅黑" w:hAnsi="微软雅黑" w:eastAsia="微软雅黑" w:cs="微软雅黑"/>
          <w:i w:val="0"/>
          <w:iCs w:val="0"/>
          <w:caps w:val="0"/>
          <w:color w:val="222222"/>
          <w:spacing w:val="8"/>
          <w:sz w:val="25"/>
          <w:szCs w:val="25"/>
          <w:bdr w:val="none" w:color="auto" w:sz="0" w:space="0"/>
          <w:shd w:val="clear" w:fill="FFFFFF"/>
        </w:rPr>
        <w:t>：原材料价格上涨超预期，盈利不及预期。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hint="default" w:ascii="Arial" w:hAnsi="Arial" w:cs="Arial"/>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8"/>
        </w:rPr>
      </w:pPr>
      <w:r>
        <w:rPr>
          <w:rFonts w:hint="eastAsia" w:ascii="微软雅黑" w:hAnsi="微软雅黑" w:eastAsia="微软雅黑" w:cs="微软雅黑"/>
          <w:i w:val="0"/>
          <w:iCs w:val="0"/>
          <w:caps w:val="0"/>
          <w:color w:val="222222"/>
          <w:spacing w:val="8"/>
          <w:sz w:val="21"/>
          <w:szCs w:val="21"/>
          <w:bdr w:val="none" w:color="auto" w:sz="0" w:space="0"/>
          <w:shd w:val="clear" w:fill="FFFFFF"/>
        </w:rPr>
        <w:t>（原证券研究报告发布于2022-5-26；王小勇证书编号：</w:t>
      </w:r>
      <w:r>
        <w:rPr>
          <w:rFonts w:hint="default" w:ascii="Times New Roman" w:hAnsi="Times New Roman" w:eastAsia="微软雅黑" w:cs="Times New Roman"/>
          <w:i w:val="0"/>
          <w:iCs w:val="0"/>
          <w:caps w:val="0"/>
          <w:color w:val="222222"/>
          <w:spacing w:val="8"/>
          <w:sz w:val="16"/>
          <w:szCs w:val="16"/>
          <w:bdr w:val="none" w:color="auto" w:sz="0" w:space="0"/>
          <w:shd w:val="clear" w:fill="FFFFFF"/>
        </w:rPr>
        <w:t>S0550519100002</w:t>
      </w:r>
      <w:r>
        <w:rPr>
          <w:rFonts w:hint="eastAsia" w:ascii="微软雅黑" w:hAnsi="微软雅黑" w:eastAsia="微软雅黑" w:cs="微软雅黑"/>
          <w:i w:val="0"/>
          <w:iCs w:val="0"/>
          <w:caps w:val="0"/>
          <w:color w:val="222222"/>
          <w:spacing w:val="8"/>
          <w:sz w:val="21"/>
          <w:szCs w:val="21"/>
          <w:bdr w:val="none" w:color="auto" w:sz="0" w:space="0"/>
          <w:shd w:val="clear"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42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2022-10-20T08:33:10Z</dcterms:created>
  <dc:creator>Administrator</dc:creator>
  <cp:lastModifiedBy>钟华</cp:lastModifiedBy>
  <dcterms:modified xsi:type="dcterms:W3CDTF">2022-10-20T08:37:33Z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D79C0DB3330E405F83D5727604B681AE</vt:lpwstr>
  </property>
</Properties>
</file>